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华文中宋"/>
          <w:b/>
          <w:bCs w:val="0"/>
          <w:sz w:val="34"/>
          <w:szCs w:val="34"/>
        </w:rPr>
      </w:pPr>
      <w:r>
        <w:rPr>
          <w:rFonts w:eastAsia="黑体"/>
          <w:sz w:val="30"/>
          <w:szCs w:val="30"/>
        </w:rPr>
        <w:t>附件</w:t>
      </w:r>
      <w:r>
        <w:rPr>
          <w:rFonts w:hint="eastAsia" w:eastAsia="黑体"/>
          <w:sz w:val="30"/>
          <w:szCs w:val="30"/>
          <w:lang w:val="en-US" w:eastAsia="zh-CN"/>
        </w:rPr>
        <w:t>2</w:t>
      </w:r>
      <w:r>
        <w:rPr>
          <w:rFonts w:eastAsia="华文中宋"/>
          <w:b/>
          <w:sz w:val="34"/>
          <w:szCs w:val="34"/>
        </w:rPr>
        <w:t xml:space="preserve"> </w:t>
      </w:r>
    </w:p>
    <w:p>
      <w:pPr>
        <w:spacing w:line="540" w:lineRule="exact"/>
        <w:jc w:val="center"/>
        <w:rPr>
          <w:rFonts w:hint="eastAsia" w:ascii="仿宋" w:hAnsi="仿宋" w:eastAsia="仿宋" w:cs="仿宋"/>
          <w:b/>
          <w:bCs w:val="0"/>
          <w:sz w:val="40"/>
          <w:szCs w:val="40"/>
          <w:lang w:eastAsia="zh-CN"/>
        </w:rPr>
      </w:pPr>
      <w:r>
        <w:rPr>
          <w:rFonts w:hint="eastAsia" w:ascii="仿宋" w:hAnsi="仿宋" w:eastAsia="仿宋" w:cs="仿宋"/>
          <w:b/>
          <w:bCs w:val="0"/>
          <w:sz w:val="40"/>
          <w:szCs w:val="40"/>
        </w:rPr>
        <w:t>江苏大学生</w:t>
      </w:r>
      <w:r>
        <w:rPr>
          <w:rFonts w:hint="eastAsia" w:ascii="仿宋" w:hAnsi="仿宋" w:eastAsia="仿宋" w:cs="仿宋"/>
          <w:b/>
          <w:bCs w:val="0"/>
          <w:sz w:val="40"/>
          <w:szCs w:val="40"/>
          <w:lang w:eastAsia="zh-CN"/>
        </w:rPr>
        <w:t>线上国际课程</w:t>
      </w:r>
    </w:p>
    <w:p>
      <w:pPr>
        <w:spacing w:line="540" w:lineRule="exact"/>
        <w:jc w:val="center"/>
        <w:rPr>
          <w:rFonts w:hint="eastAsia" w:ascii="仿宋" w:hAnsi="仿宋" w:eastAsia="仿宋" w:cs="仿宋"/>
          <w:b/>
          <w:bCs w:val="0"/>
          <w:sz w:val="40"/>
          <w:szCs w:val="40"/>
          <w:lang w:eastAsia="zh-CN"/>
        </w:rPr>
      </w:pPr>
      <w:r>
        <w:rPr>
          <w:rFonts w:hint="eastAsia" w:ascii="仿宋" w:hAnsi="仿宋" w:eastAsia="仿宋" w:cs="仿宋"/>
          <w:b/>
          <w:bCs w:val="0"/>
          <w:sz w:val="40"/>
          <w:szCs w:val="40"/>
          <w:lang w:eastAsia="zh-CN"/>
        </w:rPr>
        <w:t>科研项目介绍</w:t>
      </w:r>
    </w:p>
    <w:p>
      <w:pPr>
        <w:spacing w:line="540" w:lineRule="exact"/>
        <w:jc w:val="center"/>
        <w:rPr>
          <w:rFonts w:hint="default" w:ascii="仿宋" w:hAnsi="仿宋" w:eastAsia="仿宋" w:cs="仿宋"/>
          <w:b/>
          <w:bCs/>
          <w:sz w:val="40"/>
          <w:szCs w:val="40"/>
          <w:lang w:val="en-US" w:eastAsia="zh-CN"/>
        </w:rPr>
      </w:pP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一、《全球化趋势下的教育与公共政策研究》</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 xml:space="preserve">项目背景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教育及学校教育长期以来一直与国际化和经济全球一体化的进程密切相关。近年来，各国政府也越来越多地参与全球教育交流与政策制定，参与相关国际或区域性组织发起的论坛讨论。例如：经济合作与发展组织(OECD)、7国集团(G7)、世界银行、欧洲联盟(欧盟)、世界贸易组织(WTO)、东南亚国家联盟(ASEAN)等。各国间的教育体制表现形式成为关注的重要问题，教育的成功在很大程度上反映出经济竞争力的强弱。自上世纪80年代以来，如何提供更加优质的教育和培训一直为各国政府所关注，各国政府都在努力探寻既能保证质量，又具经济性的教育改革之路，采取相关措施调整教育政策进而提高教育的效率。美国和英国等发达国家正是在此背景下，大力推进国内教育市场化。2000年，国际学生评估项目PISA (OECD举办的大型国际性教育成果比较和监控项目)开始提供一种比较各国教育质量的方法与途径。在本课程中，授课教授将带领我们共同探讨全球化趋势下的教育与公共政策的宏观及微观问题，即教育政策和社会关系在社会内部及社会之间的动态变化。</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 xml:space="preserve">项目介绍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课程重在培养全球化背景下学生信息筛选能力及正确的思考方式；提高批判性思维及分析能力；提升对于教育理论、公共政策及相互间关系的理解；通过训练掌握复杂问题的表达方式及全球格局角度下的思维方式。</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3.相关</w:t>
      </w:r>
      <w:r>
        <w:rPr>
          <w:rFonts w:hint="eastAsia" w:ascii="仿宋" w:hAnsi="仿宋" w:eastAsia="仿宋" w:cs="仿宋"/>
          <w:b/>
          <w:bCs/>
          <w:sz w:val="28"/>
          <w:szCs w:val="28"/>
          <w:lang w:eastAsia="zh-CN"/>
        </w:rPr>
        <w:t xml:space="preserve">专业 </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eastAsia="zh-CN"/>
        </w:rPr>
        <w:t>教育学、公共政策、国际关系、全球治理</w:t>
      </w:r>
      <w:r>
        <w:rPr>
          <w:rFonts w:hint="eastAsia" w:ascii="仿宋" w:hAnsi="仿宋" w:eastAsia="仿宋" w:cs="仿宋"/>
          <w:sz w:val="28"/>
          <w:szCs w:val="28"/>
          <w:lang w:val="en-US" w:eastAsia="zh-CN"/>
        </w:rPr>
        <w:t>等相关专业的学生。</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lang w:eastAsia="zh-CN"/>
        </w:rPr>
        <w:t>授课教师</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牛津大学</w:t>
      </w:r>
      <w:r>
        <w:rPr>
          <w:rFonts w:hint="eastAsia" w:ascii="仿宋" w:hAnsi="仿宋" w:eastAsia="仿宋" w:cs="仿宋"/>
          <w:sz w:val="28"/>
          <w:szCs w:val="28"/>
          <w:lang w:eastAsia="zh-CN"/>
        </w:rPr>
        <w:t>哈里斯曼彻斯特学院Liam Francis Gearon</w:t>
      </w:r>
      <w:r>
        <w:rPr>
          <w:rFonts w:hint="eastAsia" w:ascii="仿宋" w:hAnsi="仿宋" w:eastAsia="仿宋" w:cs="仿宋"/>
          <w:sz w:val="28"/>
          <w:szCs w:val="28"/>
          <w:lang w:val="en-US" w:eastAsia="zh-CN"/>
        </w:rPr>
        <w:t>教授</w:t>
      </w:r>
    </w:p>
    <w:p>
      <w:pPr>
        <w:pStyle w:val="2"/>
        <w:keepNext w:val="0"/>
        <w:keepLines w:val="0"/>
        <w:widowControl/>
        <w:suppressLineNumbers w:val="0"/>
        <w:spacing w:before="0" w:beforeAutospacing="0" w:after="0" w:afterAutospacing="0"/>
        <w:ind w:left="0" w:right="0" w:firstLine="560" w:firstLineChars="200"/>
        <w:jc w:val="both"/>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他是牛津大学教育系教授，牛津大学哈里斯曼彻斯特学院高级研究员、澳大利亚纽卡斯尔大学联合教授、爱尔兰天主教研究中心访问教授，</w:t>
      </w:r>
    </w:p>
    <w:p>
      <w:pPr>
        <w:pStyle w:val="2"/>
        <w:keepNext w:val="0"/>
        <w:keepLines w:val="0"/>
        <w:widowControl/>
        <w:suppressLineNumbers w:val="0"/>
        <w:spacing w:before="0" w:beforeAutospacing="0" w:after="0" w:afterAutospacing="0"/>
        <w:ind w:left="0" w:right="0"/>
        <w:jc w:val="both"/>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哲学、宗教、教育研究小组的创始人兼主任，是宗教教育领域跨学科研究的专家，在牛津大学领导宗教教育教学达十年之久。20多年来，他从事档案、实证和理论的学术研究，并在教育与公民权利、文学、哲学等方面进行研究。</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lang w:eastAsia="zh-CN"/>
        </w:rPr>
        <w:t xml:space="preserve">项目大纲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“国际社会”分析</w:t>
      </w:r>
    </w:p>
    <w:p>
      <w:pPr>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解析模型在教育及政策制定过程中的广泛应用</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当代文化及身份认同</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教育在全球“南北合作”中的表现</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探讨分析在教育领域有影响力的全球政策参与者：世界银行&amp;经济合作与发展组织</w:t>
      </w:r>
    </w:p>
    <w:p>
      <w:pPr>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eastAsia="zh-CN"/>
        </w:rPr>
        <w:t>二、《公共卫生与生物医学：冠状病毒“战疫”》</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 xml:space="preserve">项目背景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2020年初，一场没有硝烟的战役悄然打响。抗击新型冠状病毒疫情不仅是媒体铺天盖地的宣传和号召，更是每个家庭的幸福所在和个人的生命安全所系。冠状病毒是什么？这是一种怎样的传染疾病？如何进行自我防护？</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课程将在海外名校教授的指导下进行，帮助学生构建公共卫生与生物医学知识体系，特别是冠状病毒的相关知识，全面提升解决现实问题的能力，为未来升学和求职奠定坚实的基础。</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 xml:space="preserve">项目介绍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学生将在课程中学习公共卫生与一般预防医学、传染病、冠状病毒爆发、感染和免疫反应的相关知识。项目结束时，学生能运用所学知识解决现实问题，提交项目报告，进行成果展示。</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3.相关</w:t>
      </w:r>
      <w:r>
        <w:rPr>
          <w:rFonts w:hint="eastAsia" w:ascii="仿宋" w:hAnsi="仿宋" w:eastAsia="仿宋" w:cs="仿宋"/>
          <w:b/>
          <w:bCs/>
          <w:sz w:val="28"/>
          <w:szCs w:val="28"/>
          <w:lang w:eastAsia="zh-CN"/>
        </w:rPr>
        <w:t>专业</w:t>
      </w:r>
    </w:p>
    <w:p>
      <w:pPr>
        <w:ind w:firstLine="560" w:firstLineChars="200"/>
        <w:rPr>
          <w:rFonts w:hint="eastAsia"/>
        </w:rPr>
      </w:pPr>
      <w:r>
        <w:rPr>
          <w:rFonts w:hint="eastAsia" w:ascii="仿宋" w:hAnsi="仿宋" w:eastAsia="仿宋" w:cs="仿宋"/>
          <w:sz w:val="28"/>
          <w:szCs w:val="28"/>
          <w:lang w:eastAsia="zh-CN"/>
        </w:rPr>
        <w:t>医药学、免疫学、生物学等相关专业的学生。</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lang w:eastAsia="zh-CN"/>
        </w:rPr>
        <w:t>授课教师</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牛津大学纳菲尔德医学系Baird教授</w:t>
      </w:r>
    </w:p>
    <w:p>
      <w:pPr>
        <w:ind w:firstLine="560" w:firstLineChars="200"/>
        <w:rPr>
          <w:rFonts w:hint="eastAsia" w:ascii="Times New Roman" w:hAnsi="Times New Roman" w:eastAsia="宋体" w:cs="Times New Roman"/>
          <w:lang w:eastAsia="zh-CN"/>
        </w:rPr>
      </w:pPr>
      <w:r>
        <w:rPr>
          <w:rFonts w:hint="eastAsia" w:ascii="仿宋" w:hAnsi="仿宋" w:eastAsia="仿宋" w:cs="仿宋"/>
          <w:sz w:val="28"/>
          <w:szCs w:val="28"/>
          <w:lang w:eastAsia="zh-CN"/>
        </w:rPr>
        <w:t>Baird是牛津大学纳菲尔德医学系疟疾学教授，</w:t>
      </w:r>
      <w:r>
        <w:rPr>
          <w:rFonts w:hint="eastAsia" w:ascii="仿宋" w:hAnsi="仿宋" w:eastAsia="仿宋" w:cs="仿宋"/>
          <w:sz w:val="28"/>
          <w:szCs w:val="28"/>
          <w:lang w:val="en-US" w:eastAsia="zh-CN"/>
        </w:rPr>
        <w:t>也是</w:t>
      </w:r>
      <w:r>
        <w:rPr>
          <w:rFonts w:hint="eastAsia" w:ascii="仿宋" w:hAnsi="仿宋" w:eastAsia="仿宋" w:cs="仿宋"/>
          <w:sz w:val="28"/>
          <w:szCs w:val="28"/>
          <w:lang w:eastAsia="zh-CN"/>
        </w:rPr>
        <w:t>印度尼西亚雅加达Eijkman-Oxford临床研究中心主任。他获得马里兰大学微生物学学士学位、生物化学硕士学位，以及杜兰大学医学动物学博士学位。他长期专注于间日疟原虫疟疾</w:t>
      </w:r>
      <w:r>
        <w:rPr>
          <w:rFonts w:hint="eastAsia" w:ascii="仿宋" w:hAnsi="仿宋" w:eastAsia="仿宋" w:cs="仿宋"/>
          <w:sz w:val="28"/>
          <w:szCs w:val="28"/>
          <w:lang w:val="en-US" w:eastAsia="zh-CN"/>
        </w:rPr>
        <w:t>研究</w:t>
      </w:r>
      <w:r>
        <w:rPr>
          <w:rFonts w:hint="eastAsia" w:ascii="仿宋" w:hAnsi="仿宋" w:eastAsia="仿宋" w:cs="仿宋"/>
          <w:sz w:val="28"/>
          <w:szCs w:val="28"/>
          <w:lang w:eastAsia="zh-CN"/>
        </w:rPr>
        <w:t>，特别是G6PD缺乏症和细胞色素P-450 2D6药物遗传学问题。他的实验室进行治疗间日疟原虫复发的临床试验，此外还进行G6PD缺乏生物化学、诊断和流行病学的实验、现场研究。</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lang w:eastAsia="zh-CN"/>
        </w:rPr>
        <w:t xml:space="preserve">项目大纲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公共卫生与一般预防医学：“预防医学是指以人群为研究对象，应用宏观与微观技术手段，研究影响健康因素及其作用规律，阐明外界环境因素与人群健康的相互关系，制定公共卫生策略与措施，以达到预防疾病增进健康延长寿命提高生命质量为目标的一门医学</w:t>
      </w:r>
      <w:r>
        <w:rPr>
          <w:rFonts w:hint="eastAsia" w:ascii="仿宋" w:hAnsi="仿宋" w:eastAsia="仿宋" w:cs="仿宋"/>
          <w:sz w:val="28"/>
          <w:szCs w:val="28"/>
          <w:lang w:val="en-US" w:eastAsia="zh-CN"/>
        </w:rPr>
        <w:t>学科”</w:t>
      </w:r>
      <w:r>
        <w:rPr>
          <w:rFonts w:hint="eastAsia" w:ascii="仿宋" w:hAnsi="仿宋" w:eastAsia="仿宋" w:cs="仿宋"/>
          <w:sz w:val="28"/>
          <w:szCs w:val="28"/>
          <w:lang w:eastAsia="zh-CN"/>
        </w:rPr>
        <w:t>。学习公共卫生的概念、原则等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传染病定义、类型与成因：传染病是由各种病原体引起的能在人与人、动物与动物或人与动物之间相互传播的一类疾病。学习传染病基本知识，探究严重疾病传播以及如何自我防护</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冠状病毒爆发：了解冠状病毒爆发的过程和疫情预测</w:t>
      </w:r>
    </w:p>
    <w:p>
      <w:pPr>
        <w:ind w:firstLine="560" w:firstLineChars="200"/>
      </w:pPr>
      <w:r>
        <w:rPr>
          <w:rFonts w:hint="eastAsia" w:ascii="仿宋" w:hAnsi="仿宋" w:eastAsia="仿宋" w:cs="仿宋"/>
          <w:sz w:val="28"/>
          <w:szCs w:val="28"/>
          <w:lang w:eastAsia="zh-CN"/>
        </w:rPr>
        <w:t>冠状病毒感染和免疫反应：掌握冠状病毒传染和人体免疫反应，对冠状病毒的传播形成自己的独到见解</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三、《</w:t>
      </w:r>
      <w:r>
        <w:rPr>
          <w:rFonts w:hint="eastAsia" w:ascii="仿宋" w:hAnsi="仿宋" w:eastAsia="仿宋" w:cs="仿宋"/>
          <w:b/>
          <w:bCs/>
          <w:sz w:val="28"/>
          <w:szCs w:val="28"/>
          <w:lang w:val="en-US" w:eastAsia="zh-CN"/>
        </w:rPr>
        <w:t>机器人、</w:t>
      </w:r>
      <w:r>
        <w:rPr>
          <w:rFonts w:hint="eastAsia" w:ascii="仿宋" w:hAnsi="仿宋" w:eastAsia="仿宋" w:cs="仿宋"/>
          <w:b/>
          <w:bCs/>
          <w:sz w:val="28"/>
          <w:szCs w:val="28"/>
          <w:lang w:eastAsia="zh-CN"/>
        </w:rPr>
        <w:t>人工智能与</w:t>
      </w:r>
      <w:r>
        <w:rPr>
          <w:rFonts w:hint="eastAsia" w:ascii="仿宋" w:hAnsi="仿宋" w:eastAsia="仿宋" w:cs="仿宋"/>
          <w:b/>
          <w:bCs/>
          <w:sz w:val="28"/>
          <w:szCs w:val="28"/>
          <w:lang w:val="en-US" w:eastAsia="zh-CN"/>
        </w:rPr>
        <w:t>计算机网络</w:t>
      </w:r>
      <w:r>
        <w:rPr>
          <w:rFonts w:hint="eastAsia" w:ascii="仿宋" w:hAnsi="仿宋" w:eastAsia="仿宋" w:cs="仿宋"/>
          <w:b/>
          <w:bCs/>
          <w:sz w:val="28"/>
          <w:szCs w:val="28"/>
          <w:lang w:eastAsia="zh-CN"/>
        </w:rPr>
        <w:t>》</w:t>
      </w:r>
    </w:p>
    <w:p>
      <w:pPr>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项目背景</w:t>
      </w:r>
      <w:r>
        <w:rPr>
          <w:rFonts w:hint="eastAsia" w:ascii="仿宋" w:hAnsi="仿宋" w:eastAsia="仿宋" w:cs="仿宋"/>
          <w:sz w:val="28"/>
          <w:szCs w:val="28"/>
          <w:lang w:eastAsia="zh-CN"/>
        </w:rPr>
        <w:t xml:space="preserve">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人工智能是计算机学科的一个重要分支，被认为是二十一世纪三大尖端技术（基因工程、纳米科学、人工智能）之一。近三十年来人工智能技术获得了迅速发展，在很多领域获得了广泛应用，并取得了丰硕成果。人工智能已逐步成为一个独立的领域，无论在理论和实践上都已自成体系。人工智能目前不仅在计算机领域得到广泛发挥，在机器人、经济政治决策、控制系统、仿真系统中都得到广泛应用。神经网络是人工智能领域的重要部分，它通过模仿人脑结构及其功能的信息处理系统，数据的学习、结构和算法实现对大脑的研究，提高人们信息处理的智能化水平。</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项目介绍</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本课程教授人工智能的基本方法，</w:t>
      </w:r>
      <w:r>
        <w:rPr>
          <w:rFonts w:hint="eastAsia" w:ascii="仿宋" w:hAnsi="仿宋" w:eastAsia="仿宋" w:cs="仿宋"/>
          <w:sz w:val="28"/>
          <w:szCs w:val="28"/>
          <w:lang w:val="en-US" w:eastAsia="zh-CN"/>
        </w:rPr>
        <w:t>展示</w:t>
      </w:r>
      <w:r>
        <w:rPr>
          <w:rFonts w:hint="eastAsia" w:ascii="仿宋" w:hAnsi="仿宋" w:eastAsia="仿宋" w:cs="仿宋"/>
          <w:sz w:val="28"/>
          <w:szCs w:val="28"/>
          <w:lang w:eastAsia="zh-CN"/>
        </w:rPr>
        <w:t>大量的编程示例和AI技术来解释各种各样的信息来源，使用它来实现智能</w:t>
      </w:r>
      <w:r>
        <w:rPr>
          <w:rFonts w:hint="eastAsia" w:ascii="仿宋" w:hAnsi="仿宋" w:eastAsia="仿宋" w:cs="仿宋"/>
          <w:sz w:val="28"/>
          <w:szCs w:val="28"/>
          <w:lang w:val="en-US" w:eastAsia="zh-CN"/>
        </w:rPr>
        <w:t>、有</w:t>
      </w:r>
      <w:r>
        <w:rPr>
          <w:rFonts w:hint="eastAsia" w:ascii="仿宋" w:hAnsi="仿宋" w:eastAsia="仿宋" w:cs="仿宋"/>
          <w:sz w:val="28"/>
          <w:szCs w:val="28"/>
          <w:lang w:eastAsia="zh-CN"/>
        </w:rPr>
        <w:t>目标导向的行为。通过教授计算机网络的基本原则来提高学生的理解能力。在自上而下分析法中，带领学生检查协议栈的应用程序，传输、网络和数据链路层。</w:t>
      </w:r>
    </w:p>
    <w:p>
      <w:pPr>
        <w:ind w:firstLine="562" w:firstLineChars="20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3.相关专业</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有计算机、人工智能专业基础的学生，对计算机、人工智能有兴趣的学生。</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eastAsia="zh-CN"/>
        </w:rPr>
        <w:t>具有高数基础、编程基础，数据结构算法较好</w:t>
      </w:r>
      <w:r>
        <w:rPr>
          <w:rFonts w:hint="eastAsia" w:ascii="仿宋" w:hAnsi="仿宋" w:eastAsia="仿宋" w:cs="仿宋"/>
          <w:sz w:val="28"/>
          <w:szCs w:val="28"/>
          <w:lang w:val="en-US" w:eastAsia="zh-CN"/>
        </w:rPr>
        <w:t>的学生。</w:t>
      </w:r>
    </w:p>
    <w:p>
      <w:pPr>
        <w:ind w:firstLine="562" w:firstLineChars="20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4.授课教师</w:t>
      </w:r>
    </w:p>
    <w:p>
      <w:pPr>
        <w:ind w:firstLine="560" w:firstLineChars="200"/>
        <w:rPr>
          <w:rFonts w:ascii="sans-serif" w:hAnsi="sans-serif" w:eastAsia="sans-serif" w:cs="sans-serif"/>
          <w:i w:val="0"/>
          <w:iCs w:val="0"/>
          <w:caps w:val="0"/>
          <w:color w:val="2B2B2B"/>
          <w:spacing w:val="0"/>
          <w:sz w:val="21"/>
          <w:szCs w:val="21"/>
          <w:shd w:val="clear" w:fill="FFFFFF"/>
        </w:rPr>
      </w:pPr>
      <w:r>
        <w:rPr>
          <w:rFonts w:hint="eastAsia" w:ascii="仿宋" w:hAnsi="仿宋" w:eastAsia="仿宋" w:cs="仿宋"/>
          <w:sz w:val="28"/>
          <w:szCs w:val="28"/>
          <w:lang w:val="en-US" w:eastAsia="zh-CN"/>
        </w:rPr>
        <w:t>牛津大学</w:t>
      </w:r>
      <w:r>
        <w:rPr>
          <w:rFonts w:hint="eastAsia" w:ascii="仿宋" w:hAnsi="仿宋" w:eastAsia="仿宋" w:cs="仿宋"/>
          <w:sz w:val="28"/>
          <w:szCs w:val="28"/>
          <w:lang w:eastAsia="zh-CN"/>
        </w:rPr>
        <w:t>计算机科学</w:t>
      </w:r>
      <w:r>
        <w:rPr>
          <w:rFonts w:hint="eastAsia" w:ascii="仿宋" w:hAnsi="仿宋" w:eastAsia="仿宋" w:cs="仿宋"/>
          <w:sz w:val="28"/>
          <w:szCs w:val="28"/>
          <w:lang w:val="en-US" w:eastAsia="zh-CN"/>
        </w:rPr>
        <w:t>系</w:t>
      </w:r>
      <w:r>
        <w:rPr>
          <w:rFonts w:hint="eastAsia" w:ascii="仿宋" w:hAnsi="仿宋" w:eastAsia="仿宋" w:cs="仿宋"/>
          <w:sz w:val="28"/>
          <w:szCs w:val="28"/>
          <w:lang w:eastAsia="zh-CN"/>
        </w:rPr>
        <w:t>Vicary教授</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Vicary教授在牛津大学的曼斯菲尔德学院获得了物理学学士学位，在剑桥大学的DAMTP和Trinity Hall学习了第三部分数学课程。随后他在伦敦帝国理工学院</w:t>
      </w:r>
      <w:r>
        <w:rPr>
          <w:rFonts w:hint="eastAsia" w:ascii="仿宋" w:hAnsi="仿宋" w:eastAsia="仿宋" w:cs="仿宋"/>
          <w:sz w:val="28"/>
          <w:szCs w:val="28"/>
          <w:lang w:val="en-US" w:eastAsia="zh-CN"/>
        </w:rPr>
        <w:t>获得</w:t>
      </w:r>
      <w:r>
        <w:rPr>
          <w:rFonts w:hint="eastAsia" w:ascii="仿宋" w:hAnsi="仿宋" w:eastAsia="仿宋" w:cs="仿宋"/>
          <w:sz w:val="28"/>
          <w:szCs w:val="28"/>
          <w:lang w:eastAsia="zh-CN"/>
        </w:rPr>
        <w:t>范畴理论和量子信息基础博士学位。此后，他一直在牛津大学工作，于2013年成为高级研究员。</w:t>
      </w:r>
      <w:r>
        <w:rPr>
          <w:rFonts w:hint="eastAsia" w:ascii="仿宋" w:hAnsi="仿宋" w:eastAsia="仿宋" w:cs="仿宋"/>
          <w:sz w:val="28"/>
          <w:szCs w:val="28"/>
          <w:lang w:val="en-US" w:eastAsia="zh-CN"/>
        </w:rPr>
        <w:t>他的</w:t>
      </w:r>
      <w:r>
        <w:rPr>
          <w:rFonts w:hint="eastAsia" w:ascii="仿宋" w:hAnsi="仿宋" w:eastAsia="仿宋" w:cs="仿宋"/>
          <w:sz w:val="28"/>
          <w:szCs w:val="28"/>
          <w:lang w:eastAsia="zh-CN"/>
        </w:rPr>
        <w:t>工作是研究高级范畴理论及其在计算机科学和数学中的应用，特别是与量子结构相关的领域。</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lang w:eastAsia="zh-CN"/>
        </w:rPr>
        <w:t>项目大纲</w:t>
      </w:r>
    </w:p>
    <w:p>
      <w:pPr>
        <w:ind w:firstLine="560" w:firstLineChars="200"/>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互联网和基本网络协议</w:t>
      </w:r>
    </w:p>
    <w:p>
      <w:pPr>
        <w:ind w:firstLine="560" w:firstLineChars="200"/>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人工智能概论</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论文课程，围绕网络路由消息</w:t>
      </w:r>
    </w:p>
    <w:p>
      <w:pPr>
        <w:ind w:firstLine="560" w:firstLineChars="200"/>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人工智能和问题解决</w:t>
      </w:r>
    </w:p>
    <w:p>
      <w:pPr>
        <w:ind w:firstLine="560" w:firstLineChars="200"/>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网络的名称和地址</w:t>
      </w:r>
    </w:p>
    <w:p>
      <w:pPr>
        <w:ind w:firstLine="560" w:firstLineChars="200"/>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机器学习的神经网络</w:t>
      </w:r>
    </w:p>
    <w:p>
      <w:pPr>
        <w:ind w:firstLine="560" w:firstLineChars="200"/>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逻辑程序设计，计划和问题解决</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四、《实证金融学在股市中的运用》</w:t>
      </w:r>
    </w:p>
    <w:p>
      <w:pPr>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项目背景</w:t>
      </w:r>
      <w:r>
        <w:rPr>
          <w:rFonts w:hint="eastAsia" w:ascii="仿宋" w:hAnsi="仿宋" w:eastAsia="仿宋" w:cs="仿宋"/>
          <w:sz w:val="28"/>
          <w:szCs w:val="28"/>
          <w:lang w:eastAsia="zh-CN"/>
        </w:rPr>
        <w:t xml:space="preserve">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实证金融侧重于使用金融计量技术实证分析金融市场中的现实问题。实证金融研究是一个“发现”过程，这种发现主要基于金融现象本身，而不依赖于我们想从金融现象中发现什么。实证金融研究投资组合理论和资产配置、资产定价和因子模型、市场有效性、汇率和利率的拟合和预测、风险价值（VaR）等。实证金融研究是一个观察、解释所看到的金融现象然后进行预测的过程。</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 xml:space="preserve">项目介绍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课程介绍，讲解实证分析中一些主要课题。目的是使学生了解当前金融市场实证研究的问题、方法和目的。焦点主要集中股票市场，重点是模型、方法以及实证结果及其解析。</w:t>
      </w:r>
    </w:p>
    <w:p>
      <w:pPr>
        <w:numPr>
          <w:ilvl w:val="0"/>
          <w:numId w:val="0"/>
        </w:num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3.相关专业</w:t>
      </w:r>
    </w:p>
    <w:p>
      <w:pPr>
        <w:numPr>
          <w:ilvl w:val="0"/>
          <w:numId w:val="0"/>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金融、经济、金融工程等商科专业，以及对投资理财、股市感兴趣的学生。</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lang w:eastAsia="zh-CN"/>
        </w:rPr>
        <w:t>授课教师</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剑桥大学贾奇商学院金融学Raghavendra Rau教授</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他是</w:t>
      </w:r>
      <w:r>
        <w:rPr>
          <w:rFonts w:hint="eastAsia" w:ascii="仿宋" w:hAnsi="仿宋" w:eastAsia="仿宋" w:cs="仿宋"/>
          <w:sz w:val="28"/>
          <w:szCs w:val="28"/>
          <w:lang w:eastAsia="zh-CN"/>
        </w:rPr>
        <w:t>欧洲金融协会前任主席和“金融管理”前任编辑。剑桥另类金融中心(CCAF)创始人、主任，剑桥公司治理网络(CCGN)成员。</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Raghavendra Rau 曾于2008-2009年在旧金山担任巴克莱全球投资者(Barclays Global Investors)负责人，该公司是当时全球最大的资产管理公司。曾任《企业金融期刊》《银行与金融期刊》《金融评论》《金融季刊》等杂志副主编，其研究成果经常被包括《纽约时报》《金融时报》《华尔街日报》和《经济学人》在内的大众媒体报道。</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lang w:eastAsia="zh-CN"/>
        </w:rPr>
        <w:t xml:space="preserve">项目大纲 </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金融及金融机构概述</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货币与货币制度</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商业银行及其业务</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股市原理及赚钱途径</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在股市中运用金融学</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五、《新闻与传播、传媒：社交媒体平台消费者行为与营销研究》</w:t>
      </w:r>
    </w:p>
    <w:p>
      <w:pPr>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lang w:eastAsia="zh-CN"/>
        </w:rPr>
        <w:t>项目背景</w:t>
      </w:r>
      <w:r>
        <w:rPr>
          <w:rFonts w:hint="eastAsia" w:ascii="仿宋" w:hAnsi="仿宋" w:eastAsia="仿宋" w:cs="仿宋"/>
          <w:sz w:val="28"/>
          <w:szCs w:val="28"/>
          <w:lang w:eastAsia="zh-CN"/>
        </w:rPr>
        <w:t xml:space="preserve"> </w:t>
      </w:r>
    </w:p>
    <w:p>
      <w:pPr>
        <w:pStyle w:val="2"/>
        <w:keepNext w:val="0"/>
        <w:keepLines w:val="0"/>
        <w:widowControl/>
        <w:suppressLineNumbers w:val="0"/>
        <w:spacing w:before="0" w:beforeAutospacing="0" w:after="0" w:afterAutospacing="0"/>
        <w:ind w:left="0" w:right="0" w:firstLine="560" w:firstLineChars="200"/>
        <w:jc w:val="both"/>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21世纪初以来，人们获取新闻信息的渠道和方式呈指数增长，数字和社交媒体在引导我们接收什么样的信息以及如何访问、处理和共享信息。网络传播的信息和图像会影响人们的工作生活、社交互动，甚至人们的情感。正因为社交媒体传播的信息有巨大的影响力，所以我们更需要学习如何在数字世界中进行交流，如何评估和引导社交媒体正确传播社会信息，如何通过社交媒体负责任地传播信息以及如何运用社交媒体进行在线学术研究。</w:t>
      </w:r>
    </w:p>
    <w:p>
      <w:pPr>
        <w:pStyle w:val="2"/>
        <w:keepNext w:val="0"/>
        <w:keepLines w:val="0"/>
        <w:widowControl/>
        <w:suppressLineNumbers w:val="0"/>
        <w:spacing w:before="0" w:beforeAutospacing="0" w:after="0" w:afterAutospacing="0"/>
        <w:ind w:left="0" w:right="0" w:firstLine="560" w:firstLineChars="200"/>
        <w:jc w:val="both"/>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营销，指企业发现或发掘准消费者需求，让消费者了解该产品进而购买该产品的过程。市场营销又称作市场学、市场行销或行销学，是在创造、沟通、传播和交换产品中，为顾客、客户、合作伙伴以及整个社会带来经济价值的活动、过程和体系。MBA、EMBA等经典商管课程均将市场营销作为对管理者进行管理和教育的重要模块。</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 xml:space="preserve">项目介绍 </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项目将介绍基本的传播理论，让学生了解数字、社交、移动媒体以及市场营销。通过一段时间的学习，学生将在该领域提出研究主题的构想，定义研究问题，提出研究设计，收集和分析数据最终完成研究课题。</w:t>
      </w:r>
    </w:p>
    <w:p>
      <w:pPr>
        <w:ind w:firstLine="562" w:firstLineChars="20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3.相关专业</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市场营销、广告、传媒学、数字媒体、传播学、社会学等专业的学生</w:t>
      </w:r>
    </w:p>
    <w:p>
      <w:pPr>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lang w:eastAsia="zh-CN"/>
        </w:rPr>
        <w:t>授课教师</w:t>
      </w:r>
    </w:p>
    <w:p>
      <w:pPr>
        <w:ind w:firstLine="560" w:firstLineChars="200"/>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剑桥大学赛尔文学院</w:t>
      </w:r>
      <w:r>
        <w:rPr>
          <w:rFonts w:hint="default" w:ascii="仿宋" w:hAnsi="仿宋" w:eastAsia="仿宋" w:cs="仿宋"/>
          <w:kern w:val="2"/>
          <w:sz w:val="28"/>
          <w:szCs w:val="28"/>
          <w:lang w:val="en-US" w:eastAsia="zh-CN" w:bidi="ar-SA"/>
        </w:rPr>
        <w:t> Patrick</w:t>
      </w:r>
      <w:r>
        <w:rPr>
          <w:rFonts w:hint="eastAsia" w:ascii="仿宋" w:hAnsi="仿宋" w:eastAsia="仿宋" w:cs="仿宋"/>
          <w:kern w:val="2"/>
          <w:sz w:val="28"/>
          <w:szCs w:val="28"/>
          <w:lang w:val="en-US" w:eastAsia="zh-CN" w:bidi="ar-SA"/>
        </w:rPr>
        <w:t>教授</w:t>
      </w:r>
    </w:p>
    <w:p>
      <w:pPr>
        <w:ind w:firstLine="560" w:firstLineChars="200"/>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Patrick</w:t>
      </w:r>
      <w:r>
        <w:rPr>
          <w:rFonts w:hint="default" w:ascii="仿宋" w:hAnsi="仿宋" w:eastAsia="仿宋" w:cs="仿宋"/>
          <w:kern w:val="2"/>
          <w:sz w:val="28"/>
          <w:szCs w:val="28"/>
          <w:lang w:val="en-US" w:eastAsia="zh-CN" w:bidi="ar-SA"/>
        </w:rPr>
        <w:t>教授在牛津大学完成了他的研究生</w:t>
      </w:r>
      <w:r>
        <w:rPr>
          <w:rFonts w:hint="eastAsia" w:ascii="仿宋" w:hAnsi="仿宋" w:eastAsia="仿宋" w:cs="仿宋"/>
          <w:kern w:val="2"/>
          <w:sz w:val="28"/>
          <w:szCs w:val="28"/>
          <w:lang w:val="en-US" w:eastAsia="zh-CN" w:bidi="ar-SA"/>
        </w:rPr>
        <w:t>学习</w:t>
      </w:r>
      <w:r>
        <w:rPr>
          <w:rFonts w:hint="default" w:ascii="仿宋" w:hAnsi="仿宋" w:eastAsia="仿宋" w:cs="仿宋"/>
          <w:kern w:val="2"/>
          <w:sz w:val="28"/>
          <w:szCs w:val="28"/>
          <w:lang w:val="en-US" w:eastAsia="zh-CN" w:bidi="ar-SA"/>
        </w:rPr>
        <w:t>，</w:t>
      </w:r>
      <w:r>
        <w:rPr>
          <w:rFonts w:hint="eastAsia" w:ascii="仿宋" w:hAnsi="仿宋" w:eastAsia="仿宋" w:cs="仿宋"/>
          <w:kern w:val="2"/>
          <w:sz w:val="28"/>
          <w:szCs w:val="28"/>
          <w:lang w:val="en-US" w:eastAsia="zh-CN" w:bidi="ar-SA"/>
        </w:rPr>
        <w:t>随后</w:t>
      </w:r>
      <w:r>
        <w:rPr>
          <w:rFonts w:hint="default" w:ascii="仿宋" w:hAnsi="仿宋" w:eastAsia="仿宋" w:cs="仿宋"/>
          <w:kern w:val="2"/>
          <w:sz w:val="28"/>
          <w:szCs w:val="28"/>
          <w:lang w:val="en-US" w:eastAsia="zh-CN" w:bidi="ar-SA"/>
        </w:rPr>
        <w:t>加入了剑桥大学。他在知识分子社会学方面的研究得到了各种机构的资助，包括英国科学院、欧洲研究理事会和Leverhulme Trust</w:t>
      </w:r>
      <w:r>
        <w:rPr>
          <w:rFonts w:hint="eastAsia" w:ascii="仿宋" w:hAnsi="仿宋" w:eastAsia="仿宋" w:cs="仿宋"/>
          <w:kern w:val="2"/>
          <w:sz w:val="28"/>
          <w:szCs w:val="28"/>
          <w:lang w:val="en-US" w:eastAsia="zh-CN" w:bidi="ar-SA"/>
        </w:rPr>
        <w:t>，</w:t>
      </w:r>
      <w:r>
        <w:rPr>
          <w:rFonts w:hint="default" w:ascii="仿宋" w:hAnsi="仿宋" w:eastAsia="仿宋" w:cs="仿宋"/>
          <w:kern w:val="2"/>
          <w:sz w:val="28"/>
          <w:szCs w:val="28"/>
          <w:lang w:val="en-US" w:eastAsia="zh-CN" w:bidi="ar-SA"/>
        </w:rPr>
        <w:t>他的著作已被翻译成10多种语言。Patrick教授是《国际政治、文化和社会杂志》的主编，他还在《欧洲社会理论杂志》、《古典社会学杂志》、《当代社会学》和《区分》担任编辑职务。他曾在世界各地担任访问职务，包括开普敦大学、索邦大学、柏林洪堡大学、布朗大学、英属哥伦比亚大学、智利康塞普西翁大学、伦敦政治经济学院和巴黎政治学院。</w:t>
      </w:r>
    </w:p>
    <w:p>
      <w:pPr>
        <w:ind w:firstLine="562" w:firstLineChars="200"/>
      </w:pPr>
      <w:r>
        <w:rPr>
          <w:rFonts w:hint="eastAsia" w:ascii="仿宋" w:hAnsi="仿宋" w:eastAsia="仿宋" w:cs="仿宋"/>
          <w:b/>
          <w:bCs/>
          <w:sz w:val="28"/>
          <w:szCs w:val="28"/>
          <w:lang w:val="en-US" w:eastAsia="zh-CN"/>
        </w:rPr>
        <w:t>5.</w:t>
      </w:r>
      <w:r>
        <w:rPr>
          <w:rFonts w:hint="eastAsia" w:ascii="仿宋" w:hAnsi="仿宋" w:eastAsia="仿宋" w:cs="仿宋"/>
          <w:b/>
          <w:bCs/>
          <w:sz w:val="28"/>
          <w:szCs w:val="28"/>
          <w:lang w:eastAsia="zh-CN"/>
        </w:rPr>
        <w:t xml:space="preserve">项目大纲 </w:t>
      </w:r>
    </w:p>
    <w:p>
      <w:p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沟通模型与信息类型 </w:t>
      </w:r>
    </w:p>
    <w:p>
      <w:pPr>
        <w:ind w:firstLine="560" w:firstLineChars="200"/>
        <w:rPr>
          <w:rFonts w:hint="eastAsia"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评估与分析网络行为</w:t>
      </w:r>
    </w:p>
    <w:p>
      <w:pPr>
        <w:ind w:firstLine="560" w:firstLineChars="200"/>
        <w:rPr>
          <w:rFonts w:hint="eastAsia"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 xml:space="preserve">谣言与口碑广告的线上传播 </w:t>
      </w:r>
    </w:p>
    <w:p>
      <w:pPr>
        <w:ind w:firstLine="560" w:firstLineChars="200"/>
        <w:rPr>
          <w:rFonts w:hint="eastAsia"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 xml:space="preserve">线上社群与社交平台 </w:t>
      </w:r>
    </w:p>
    <w:p>
      <w:pPr>
        <w:ind w:firstLine="560" w:firstLineChars="200"/>
        <w:rPr>
          <w:rFonts w:hint="default"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 xml:space="preserve">设计研究课题 </w:t>
      </w:r>
    </w:p>
    <w:p>
      <w:pPr>
        <w:ind w:firstLine="560" w:firstLineChars="200"/>
        <w:rPr>
          <w:rFonts w:hint="default"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内容分析法与调查问卷法：内容分析法介绍及操作程序、内容分析法中的编码表、调查问卷法介绍及操作程序、问题的形式以及不同的量表类型、概率抽样与非概率抽样</w:t>
      </w:r>
    </w:p>
    <w:p>
      <w:pPr>
        <w:ind w:firstLine="560" w:firstLineChars="200"/>
        <w:rPr>
          <w:rFonts w:hint="default"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数据分析及解读I：皮尔森相关性分析及实操演练、卡方分析及实操演练、单样本方差及实操演练、T检验及实操演练</w:t>
      </w:r>
    </w:p>
    <w:p>
      <w:pPr>
        <w:ind w:firstLine="560" w:firstLineChars="200"/>
        <w:rPr>
          <w:rFonts w:hint="default"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数据分析及解读II：多元方差及实操演练、简单线性回归及实操演练、多重线性回归及实操演练</w:t>
      </w:r>
    </w:p>
    <w:p>
      <w:pPr>
        <w:keepNext w:val="0"/>
        <w:keepLines w:val="0"/>
        <w:widowControl/>
        <w:numPr>
          <w:ilvl w:val="0"/>
          <w:numId w:val="0"/>
        </w:numPr>
        <w:suppressLineNumbers w:val="0"/>
        <w:spacing w:before="0" w:beforeAutospacing="0" w:after="0" w:afterAutospacing="0"/>
        <w:ind w:right="0" w:rightChars="0"/>
        <w:jc w:val="left"/>
        <w:rPr>
          <w:rFonts w:hint="default" w:ascii="仿宋" w:hAnsi="仿宋" w:eastAsia="仿宋" w:cs="仿宋"/>
          <w:kern w:val="2"/>
          <w:sz w:val="28"/>
          <w:szCs w:val="28"/>
          <w:lang w:val="en-US" w:eastAsia="zh-CN" w:bidi="ar-SA"/>
        </w:rPr>
      </w:pPr>
    </w:p>
    <w:p>
      <w:r>
        <w:rPr>
          <w:rFonts w:hint="eastAsia" w:ascii="仿宋" w:hAnsi="仿宋" w:eastAsia="仿宋" w:cs="仿宋"/>
          <w:b/>
          <w:bCs/>
          <w:sz w:val="28"/>
          <w:szCs w:val="28"/>
          <w:lang w:val="en-US" w:eastAsia="zh-CN"/>
        </w:rPr>
        <w:t>（以上课程内容，授课教师可能根据开课时间的不同进行调整）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altName w:val="汉仪书宋二KW"/>
    <w:panose1 w:val="03000509000000000000"/>
    <w:charset w:val="86"/>
    <w:family w:val="script"/>
    <w:pitch w:val="default"/>
    <w:sig w:usb0="00000000" w:usb1="00000000" w:usb2="00000010" w:usb3="00000000" w:csb0="00040000" w:csb1="00000000"/>
  </w:font>
  <w:font w:name="华文中宋">
    <w:altName w:val="华文宋体"/>
    <w:panose1 w:val="02010600040101010101"/>
    <w:charset w:val="86"/>
    <w:family w:val="auto"/>
    <w:pitch w:val="default"/>
    <w:sig w:usb0="00000000" w:usb1="00000000" w:usb2="00000000" w:usb3="00000000" w:csb0="0004009F" w:csb1="DFD70000"/>
  </w:font>
  <w:font w:name="楷体">
    <w:altName w:val="汉仪楷体KW"/>
    <w:panose1 w:val="02010609060101010101"/>
    <w:charset w:val="86"/>
    <w:family w:val="auto"/>
    <w:pitch w:val="default"/>
    <w:sig w:usb0="00000000" w:usb1="00000000" w:usb2="00000016" w:usb3="00000000" w:csb0="00040001" w:csb1="00000000"/>
  </w:font>
  <w:font w:name="sans-serif">
    <w:altName w:val="苹方-简"/>
    <w:panose1 w:val="00000000000000000000"/>
    <w:charset w:val="00"/>
    <w:family w:val="auto"/>
    <w:pitch w:val="default"/>
    <w:sig w:usb0="00000000" w:usb1="00000000" w:usb2="00000000" w:usb3="00000000" w:csb0="00000000" w:csb1="00000000"/>
  </w:font>
  <w:font w:name="Segoe Print">
    <w:altName w:val="苹方-简"/>
    <w:panose1 w:val="02000600000000000000"/>
    <w:charset w:val="00"/>
    <w:family w:val="auto"/>
    <w:pitch w:val="default"/>
    <w:sig w:usb0="00000000" w:usb1="00000000" w:usb2="00000000" w:usb3="00000000" w:csb0="2000009F" w:csb1="47010000"/>
  </w:font>
  <w:font w:name="仿宋_GB2312">
    <w:altName w:val="方正仿宋_GBK"/>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80000287" w:usb1="280F3C52"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B8878C"/>
    <w:rsid w:val="FBB88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2022-05-20T17:19:00Z</dcterms:created>
  <dc:creator>bai</dc:creator>
  <cp:lastModifiedBy>bai</cp:lastModifiedBy>
  <dcterms:modified xsi:type="dcterms:W3CDTF">2022-05-20T17:20:47Z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